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4515C" w14:textId="21E7BA7A" w:rsidR="009D3B06" w:rsidRPr="00B85BAE" w:rsidRDefault="004829B4" w:rsidP="00B85BAE">
      <w:pPr>
        <w:pStyle w:val="YRG-SectionHeadersDocumentTitle"/>
        <w:spacing w:line="276" w:lineRule="auto"/>
        <w:jc w:val="left"/>
        <w:rPr>
          <w:rFonts w:ascii="Arial" w:hAnsi="Arial"/>
        </w:rPr>
      </w:pPr>
      <w:bookmarkStart w:id="0" w:name="_GoBack"/>
      <w:bookmarkEnd w:id="0"/>
      <w:r w:rsidRPr="00B85BAE">
        <w:rPr>
          <w:rFonts w:ascii="Arial" w:hAnsi="Arial"/>
        </w:rPr>
        <w:t>Waste management plan for facility renovations</w:t>
      </w:r>
      <w:r w:rsidR="00B85BAE" w:rsidRPr="00B85BAE">
        <w:rPr>
          <w:rFonts w:ascii="Arial" w:hAnsi="Arial"/>
        </w:rPr>
        <w:t xml:space="preserve"> – </w:t>
      </w:r>
      <w:r w:rsidR="00B85BAE" w:rsidRPr="00900E20">
        <w:rPr>
          <w:color w:val="4BACC6" w:themeColor="accent5"/>
        </w:rPr>
        <w:t>&lt;BUILDING NAME&gt;</w:t>
      </w:r>
    </w:p>
    <w:p w14:paraId="251AB47A" w14:textId="77777777" w:rsidR="002D41A4" w:rsidRPr="00B85BAE" w:rsidRDefault="002D41A4" w:rsidP="009A74D3">
      <w:pPr>
        <w:pStyle w:val="YRGStandard"/>
        <w:spacing w:line="276" w:lineRule="auto"/>
      </w:pPr>
    </w:p>
    <w:p w14:paraId="1894C40B" w14:textId="22364DDB" w:rsidR="00A32345" w:rsidRPr="00B85BAE" w:rsidRDefault="008A300B" w:rsidP="009A74D3">
      <w:pPr>
        <w:pStyle w:val="YRG-SubHeadings"/>
        <w:tabs>
          <w:tab w:val="left" w:pos="0"/>
        </w:tabs>
        <w:spacing w:line="276" w:lineRule="auto"/>
        <w:rPr>
          <w:rFonts w:ascii="Arial" w:hAnsi="Arial"/>
          <w:color w:val="auto"/>
        </w:rPr>
      </w:pPr>
      <w:r w:rsidRPr="00B85BAE">
        <w:rPr>
          <w:rFonts w:ascii="Arial" w:hAnsi="Arial"/>
          <w:color w:val="auto"/>
        </w:rPr>
        <w:t>Materials Targeted</w:t>
      </w:r>
    </w:p>
    <w:p w14:paraId="66EF4934" w14:textId="51B3A051" w:rsidR="008A300B" w:rsidRPr="00297E93" w:rsidRDefault="008A300B" w:rsidP="009A74D3">
      <w:pPr>
        <w:pStyle w:val="YRG-Normal"/>
        <w:spacing w:line="276" w:lineRule="auto"/>
        <w:rPr>
          <w:rFonts w:ascii="Arial" w:hAnsi="Arial"/>
        </w:rPr>
      </w:pPr>
      <w:r w:rsidRPr="00297E93">
        <w:rPr>
          <w:rFonts w:ascii="Arial" w:hAnsi="Arial"/>
        </w:rPr>
        <w:t xml:space="preserve">The following materials </w:t>
      </w:r>
      <w:r w:rsidR="008148F6" w:rsidRPr="00297E93">
        <w:rPr>
          <w:rFonts w:ascii="Arial" w:hAnsi="Arial"/>
        </w:rPr>
        <w:t>are anticipated to be the five largest waste categories generated by the renovations</w:t>
      </w:r>
      <w:r w:rsidR="008C01D1">
        <w:rPr>
          <w:rFonts w:ascii="Arial" w:hAnsi="Arial"/>
        </w:rPr>
        <w:t xml:space="preserve"> </w:t>
      </w:r>
      <w:r w:rsidR="008148F6" w:rsidRPr="00297E93">
        <w:rPr>
          <w:rFonts w:ascii="Arial" w:hAnsi="Arial"/>
        </w:rPr>
        <w:t xml:space="preserve">taking place at </w:t>
      </w:r>
      <w:r w:rsidR="00B85BAE" w:rsidRPr="00297E93">
        <w:rPr>
          <w:color w:val="4BACC6" w:themeColor="accent5"/>
        </w:rPr>
        <w:t>&lt;building name&gt;</w:t>
      </w:r>
      <w:r w:rsidR="008148F6" w:rsidRPr="00297E93">
        <w:rPr>
          <w:rFonts w:ascii="Arial" w:hAnsi="Arial"/>
        </w:rPr>
        <w:t xml:space="preserve"> during the LEED-EBOM v4 performance period. All five material types are targeted for diversion from landfill disposal:</w:t>
      </w:r>
    </w:p>
    <w:p w14:paraId="0A676A8B" w14:textId="60FBDE64" w:rsidR="008148F6" w:rsidRPr="00297E93" w:rsidRDefault="00297E93" w:rsidP="009A74D3">
      <w:pPr>
        <w:pStyle w:val="YRG-Normal"/>
        <w:numPr>
          <w:ilvl w:val="0"/>
          <w:numId w:val="11"/>
        </w:numPr>
        <w:spacing w:line="276" w:lineRule="auto"/>
        <w:rPr>
          <w:rFonts w:ascii="Arial" w:hAnsi="Arial"/>
        </w:rPr>
      </w:pPr>
      <w:r w:rsidRPr="00297E93">
        <w:rPr>
          <w:rFonts w:ascii="Arial" w:hAnsi="Arial"/>
          <w:color w:val="4BACC6" w:themeColor="accent5"/>
        </w:rPr>
        <w:t>&lt;Waste type 1, example: Concrete&gt;</w:t>
      </w:r>
    </w:p>
    <w:p w14:paraId="20067E07" w14:textId="54A9009B" w:rsidR="00297E93" w:rsidRPr="00297E93" w:rsidRDefault="00297E93" w:rsidP="00297E93">
      <w:pPr>
        <w:pStyle w:val="YRG-Normal"/>
        <w:numPr>
          <w:ilvl w:val="0"/>
          <w:numId w:val="11"/>
        </w:numPr>
        <w:spacing w:line="276" w:lineRule="auto"/>
        <w:rPr>
          <w:rFonts w:ascii="Arial" w:hAnsi="Arial"/>
        </w:rPr>
      </w:pPr>
      <w:r w:rsidRPr="00297E93">
        <w:rPr>
          <w:rFonts w:ascii="Arial" w:hAnsi="Arial"/>
          <w:color w:val="4BACC6" w:themeColor="accent5"/>
        </w:rPr>
        <w:t>&lt;Waste type 2, example: Metal&gt;</w:t>
      </w:r>
      <w:r w:rsidRPr="00297E93">
        <w:rPr>
          <w:rFonts w:ascii="Arial" w:hAnsi="Arial"/>
        </w:rPr>
        <w:t xml:space="preserve"> </w:t>
      </w:r>
    </w:p>
    <w:p w14:paraId="6A872234" w14:textId="110A59A4" w:rsidR="00297E93" w:rsidRPr="00297E93" w:rsidRDefault="00297E93" w:rsidP="00297E93">
      <w:pPr>
        <w:pStyle w:val="YRG-Normal"/>
        <w:numPr>
          <w:ilvl w:val="0"/>
          <w:numId w:val="11"/>
        </w:numPr>
        <w:spacing w:line="276" w:lineRule="auto"/>
        <w:rPr>
          <w:rFonts w:ascii="Arial" w:hAnsi="Arial"/>
        </w:rPr>
      </w:pPr>
      <w:r w:rsidRPr="00297E93">
        <w:rPr>
          <w:rFonts w:ascii="Arial" w:hAnsi="Arial"/>
          <w:color w:val="4BACC6" w:themeColor="accent5"/>
        </w:rPr>
        <w:t>&lt;Waste type 3, example: Wood&gt;</w:t>
      </w:r>
      <w:r w:rsidRPr="00297E93">
        <w:rPr>
          <w:rFonts w:ascii="Arial" w:hAnsi="Arial"/>
        </w:rPr>
        <w:t xml:space="preserve"> </w:t>
      </w:r>
    </w:p>
    <w:p w14:paraId="5D38192E" w14:textId="6ED2B5E8" w:rsidR="00297E93" w:rsidRPr="00297E93" w:rsidRDefault="00297E93" w:rsidP="00297E93">
      <w:pPr>
        <w:pStyle w:val="YRG-Normal"/>
        <w:numPr>
          <w:ilvl w:val="0"/>
          <w:numId w:val="11"/>
        </w:numPr>
        <w:spacing w:line="276" w:lineRule="auto"/>
        <w:rPr>
          <w:rFonts w:ascii="Arial" w:hAnsi="Arial"/>
        </w:rPr>
      </w:pPr>
      <w:r w:rsidRPr="00297E93">
        <w:rPr>
          <w:rFonts w:ascii="Arial" w:hAnsi="Arial"/>
          <w:color w:val="4BACC6" w:themeColor="accent5"/>
        </w:rPr>
        <w:t>&lt;Waste type 4, example: Plastic&gt;</w:t>
      </w:r>
      <w:r w:rsidRPr="00297E93">
        <w:rPr>
          <w:rFonts w:ascii="Arial" w:hAnsi="Arial"/>
        </w:rPr>
        <w:t xml:space="preserve"> </w:t>
      </w:r>
    </w:p>
    <w:p w14:paraId="5CC6A46F" w14:textId="2EEDCB74" w:rsidR="00297E93" w:rsidRPr="00297E93" w:rsidRDefault="00297E93" w:rsidP="00297E93">
      <w:pPr>
        <w:pStyle w:val="YRG-Normal"/>
        <w:numPr>
          <w:ilvl w:val="0"/>
          <w:numId w:val="11"/>
        </w:numPr>
        <w:spacing w:line="276" w:lineRule="auto"/>
        <w:rPr>
          <w:rFonts w:ascii="Arial" w:hAnsi="Arial"/>
        </w:rPr>
      </w:pPr>
      <w:r w:rsidRPr="00297E93">
        <w:rPr>
          <w:rFonts w:ascii="Arial" w:hAnsi="Arial"/>
          <w:color w:val="4BACC6" w:themeColor="accent5"/>
        </w:rPr>
        <w:t>&lt;Waste type 5, example: Paper, cardboard, and sheetrock&gt;</w:t>
      </w:r>
      <w:r w:rsidRPr="00297E93">
        <w:rPr>
          <w:rFonts w:ascii="Arial" w:hAnsi="Arial"/>
        </w:rPr>
        <w:t xml:space="preserve"> </w:t>
      </w:r>
    </w:p>
    <w:p w14:paraId="04D8393E" w14:textId="77777777" w:rsidR="008A300B" w:rsidRPr="00B85BAE" w:rsidRDefault="008A300B" w:rsidP="009A74D3">
      <w:pPr>
        <w:pStyle w:val="YRG-Normal"/>
        <w:spacing w:line="276" w:lineRule="auto"/>
        <w:rPr>
          <w:rFonts w:ascii="Arial" w:hAnsi="Arial"/>
        </w:rPr>
      </w:pPr>
    </w:p>
    <w:p w14:paraId="517820C6" w14:textId="566353A9" w:rsidR="008A300B" w:rsidRPr="00297E93" w:rsidRDefault="008A300B" w:rsidP="009A74D3">
      <w:pPr>
        <w:pStyle w:val="YRG-SubHeadings"/>
        <w:tabs>
          <w:tab w:val="left" w:pos="0"/>
        </w:tabs>
        <w:spacing w:line="276" w:lineRule="auto"/>
        <w:rPr>
          <w:rFonts w:ascii="Arial" w:hAnsi="Arial"/>
          <w:color w:val="auto"/>
        </w:rPr>
      </w:pPr>
      <w:r w:rsidRPr="00297E93">
        <w:rPr>
          <w:rFonts w:ascii="Arial" w:hAnsi="Arial"/>
          <w:color w:val="auto"/>
        </w:rPr>
        <w:t xml:space="preserve">Anticipated Quantities </w:t>
      </w:r>
    </w:p>
    <w:p w14:paraId="20CEFBDB" w14:textId="002CEB78" w:rsidR="000F026E" w:rsidRPr="00B85BAE" w:rsidRDefault="00C2198E" w:rsidP="009A74D3">
      <w:pPr>
        <w:pStyle w:val="YRG-Normal"/>
        <w:spacing w:line="276" w:lineRule="auto"/>
        <w:rPr>
          <w:rFonts w:ascii="Arial" w:hAnsi="Arial"/>
        </w:rPr>
      </w:pPr>
      <w:r w:rsidRPr="00B85BAE">
        <w:rPr>
          <w:rFonts w:ascii="Arial" w:hAnsi="Arial"/>
        </w:rPr>
        <w:t xml:space="preserve">It is anticipated that the following </w:t>
      </w:r>
      <w:r w:rsidR="00BF437E" w:rsidRPr="00B85BAE">
        <w:rPr>
          <w:rFonts w:ascii="Arial" w:hAnsi="Arial"/>
        </w:rPr>
        <w:t>quantity</w:t>
      </w:r>
      <w:r w:rsidRPr="00B85BAE">
        <w:rPr>
          <w:rFonts w:ascii="Arial" w:hAnsi="Arial"/>
        </w:rPr>
        <w:t xml:space="preserve"> of materials will be generated</w:t>
      </w:r>
      <w:r w:rsidR="00FD638E" w:rsidRPr="00B85BAE">
        <w:rPr>
          <w:rFonts w:ascii="Arial" w:hAnsi="Arial"/>
        </w:rPr>
        <w:t xml:space="preserve"> at </w:t>
      </w:r>
      <w:r w:rsidR="00297E93">
        <w:rPr>
          <w:rFonts w:ascii="Arial" w:hAnsi="Arial"/>
        </w:rPr>
        <w:t>the building</w:t>
      </w:r>
      <w:r w:rsidRPr="00B85BAE">
        <w:rPr>
          <w:rFonts w:ascii="Arial" w:hAnsi="Arial"/>
        </w:rPr>
        <w:t xml:space="preserve">. </w:t>
      </w:r>
      <w:r w:rsidR="00297E93" w:rsidRPr="00297E93">
        <w:rPr>
          <w:rFonts w:ascii="Arial" w:hAnsi="Arial"/>
          <w:color w:val="4BACC6" w:themeColor="accent5"/>
        </w:rPr>
        <w:t>&lt;</w:t>
      </w:r>
      <w:r w:rsidR="008C01D1">
        <w:rPr>
          <w:rFonts w:ascii="Arial" w:hAnsi="Arial"/>
          <w:color w:val="4BACC6" w:themeColor="accent5"/>
        </w:rPr>
        <w:t xml:space="preserve">Provide additional information and context about the FMR activities/projects and waste quantities, as needed, for example: </w:t>
      </w:r>
      <w:r w:rsidRPr="00297E93">
        <w:rPr>
          <w:rFonts w:ascii="Arial" w:hAnsi="Arial"/>
          <w:color w:val="4BACC6" w:themeColor="accent5"/>
        </w:rPr>
        <w:t xml:space="preserve">Note that these values </w:t>
      </w:r>
      <w:r w:rsidR="00BF437E" w:rsidRPr="00297E93">
        <w:rPr>
          <w:rFonts w:ascii="Arial" w:hAnsi="Arial"/>
          <w:color w:val="4BACC6" w:themeColor="accent5"/>
        </w:rPr>
        <w:t>are approximate and represent the</w:t>
      </w:r>
      <w:r w:rsidR="00841113" w:rsidRPr="00297E93">
        <w:rPr>
          <w:rFonts w:ascii="Arial" w:hAnsi="Arial"/>
          <w:color w:val="4BACC6" w:themeColor="accent5"/>
        </w:rPr>
        <w:t xml:space="preserve"> construction and demotion</w:t>
      </w:r>
      <w:r w:rsidR="00BF437E" w:rsidRPr="00297E93">
        <w:rPr>
          <w:rFonts w:ascii="Arial" w:hAnsi="Arial"/>
          <w:color w:val="4BACC6" w:themeColor="accent5"/>
        </w:rPr>
        <w:t xml:space="preserve"> waste generated over the</w:t>
      </w:r>
      <w:r w:rsidRPr="00297E93">
        <w:rPr>
          <w:rFonts w:ascii="Arial" w:hAnsi="Arial"/>
          <w:color w:val="4BACC6" w:themeColor="accent5"/>
        </w:rPr>
        <w:t xml:space="preserve"> </w:t>
      </w:r>
      <w:r w:rsidR="00BF437E" w:rsidRPr="00297E93">
        <w:rPr>
          <w:rFonts w:ascii="Arial" w:hAnsi="Arial"/>
          <w:color w:val="4BACC6" w:themeColor="accent5"/>
        </w:rPr>
        <w:t>full renovation</w:t>
      </w:r>
      <w:r w:rsidRPr="00297E93">
        <w:rPr>
          <w:rFonts w:ascii="Arial" w:hAnsi="Arial"/>
          <w:color w:val="4BACC6" w:themeColor="accent5"/>
        </w:rPr>
        <w:t xml:space="preserve"> timeline, which will last longer than </w:t>
      </w:r>
      <w:r w:rsidR="00821542" w:rsidRPr="00297E93">
        <w:rPr>
          <w:rFonts w:ascii="Arial" w:hAnsi="Arial"/>
          <w:color w:val="4BACC6" w:themeColor="accent5"/>
        </w:rPr>
        <w:t xml:space="preserve">the </w:t>
      </w:r>
      <w:r w:rsidR="00297E93" w:rsidRPr="00297E93">
        <w:rPr>
          <w:rFonts w:ascii="Arial" w:hAnsi="Arial"/>
          <w:color w:val="4BACC6" w:themeColor="accent5"/>
        </w:rPr>
        <w:t>LEED-EBOM v4 performance period.&gt;</w:t>
      </w:r>
    </w:p>
    <w:p w14:paraId="68B89E36" w14:textId="77777777" w:rsidR="00C2198E" w:rsidRPr="00B85BAE" w:rsidRDefault="00C2198E" w:rsidP="009A74D3">
      <w:pPr>
        <w:pStyle w:val="YRG-Normal"/>
        <w:spacing w:line="276" w:lineRule="auto"/>
        <w:rPr>
          <w:rFonts w:ascii="Arial" w:hAnsi="Arial"/>
        </w:rPr>
      </w:pPr>
    </w:p>
    <w:tbl>
      <w:tblPr>
        <w:tblStyle w:val="TableGrid"/>
        <w:tblW w:w="0" w:type="auto"/>
        <w:tblInd w:w="108" w:type="dxa"/>
        <w:tblLook w:val="04A0" w:firstRow="1" w:lastRow="0" w:firstColumn="1" w:lastColumn="0" w:noHBand="0" w:noVBand="1"/>
      </w:tblPr>
      <w:tblGrid>
        <w:gridCol w:w="5400"/>
        <w:gridCol w:w="2880"/>
      </w:tblGrid>
      <w:tr w:rsidR="00C2198E" w:rsidRPr="00B85BAE" w14:paraId="6AEAA8AF" w14:textId="77777777" w:rsidTr="00297E93">
        <w:tc>
          <w:tcPr>
            <w:tcW w:w="5400" w:type="dxa"/>
          </w:tcPr>
          <w:p w14:paraId="700CE6B0" w14:textId="7A973C36" w:rsidR="00C2198E" w:rsidRPr="00B85BAE" w:rsidRDefault="00C2198E" w:rsidP="009A74D3">
            <w:pPr>
              <w:pStyle w:val="YRG-Normal"/>
              <w:spacing w:line="276" w:lineRule="auto"/>
              <w:rPr>
                <w:rFonts w:ascii="Arial" w:hAnsi="Arial"/>
                <w:b/>
              </w:rPr>
            </w:pPr>
            <w:r w:rsidRPr="00B85BAE">
              <w:rPr>
                <w:rFonts w:ascii="Arial" w:hAnsi="Arial"/>
                <w:b/>
              </w:rPr>
              <w:t>Material</w:t>
            </w:r>
          </w:p>
        </w:tc>
        <w:tc>
          <w:tcPr>
            <w:tcW w:w="2880" w:type="dxa"/>
          </w:tcPr>
          <w:p w14:paraId="39FAF08A" w14:textId="7BCBC1AF" w:rsidR="00C2198E" w:rsidRPr="00B85BAE" w:rsidRDefault="00C2198E" w:rsidP="009A74D3">
            <w:pPr>
              <w:pStyle w:val="YRG-Normal"/>
              <w:spacing w:line="276" w:lineRule="auto"/>
              <w:rPr>
                <w:rFonts w:ascii="Arial" w:hAnsi="Arial"/>
                <w:b/>
              </w:rPr>
            </w:pPr>
            <w:r w:rsidRPr="00B85BAE">
              <w:rPr>
                <w:rFonts w:ascii="Arial" w:hAnsi="Arial"/>
                <w:b/>
              </w:rPr>
              <w:t>Anticipated Quantity (Tons)</w:t>
            </w:r>
          </w:p>
        </w:tc>
      </w:tr>
      <w:tr w:rsidR="008148F6" w:rsidRPr="00B85BAE" w14:paraId="345521CC" w14:textId="77777777" w:rsidTr="00297E93">
        <w:tc>
          <w:tcPr>
            <w:tcW w:w="5400" w:type="dxa"/>
          </w:tcPr>
          <w:p w14:paraId="6E3345B2" w14:textId="10CC59B7" w:rsidR="008148F6" w:rsidRPr="00B85BAE" w:rsidRDefault="00297E93" w:rsidP="009A74D3">
            <w:pPr>
              <w:pStyle w:val="YRG-Normal"/>
              <w:spacing w:line="276" w:lineRule="auto"/>
              <w:rPr>
                <w:rFonts w:ascii="Arial" w:hAnsi="Arial"/>
              </w:rPr>
            </w:pPr>
            <w:r w:rsidRPr="00297E93">
              <w:rPr>
                <w:rFonts w:ascii="Arial" w:hAnsi="Arial"/>
                <w:color w:val="4BACC6" w:themeColor="accent5"/>
              </w:rPr>
              <w:t>Waste type 1, example: Concrete</w:t>
            </w:r>
          </w:p>
        </w:tc>
        <w:tc>
          <w:tcPr>
            <w:tcW w:w="2880" w:type="dxa"/>
          </w:tcPr>
          <w:p w14:paraId="4005A9F0" w14:textId="29A5BF30" w:rsidR="008148F6" w:rsidRPr="00297E93" w:rsidRDefault="00297E93" w:rsidP="009A74D3">
            <w:pPr>
              <w:pStyle w:val="YRG-Normal"/>
              <w:spacing w:line="276" w:lineRule="auto"/>
              <w:rPr>
                <w:rFonts w:ascii="Arial" w:hAnsi="Arial"/>
                <w:color w:val="4BACC6" w:themeColor="accent5"/>
              </w:rPr>
            </w:pPr>
            <w:r w:rsidRPr="00297E93">
              <w:rPr>
                <w:rFonts w:ascii="Arial" w:hAnsi="Arial"/>
                <w:color w:val="4BACC6" w:themeColor="accent5"/>
              </w:rPr>
              <w:t>3</w:t>
            </w:r>
            <w:r w:rsidR="00AB1D6A" w:rsidRPr="00297E93">
              <w:rPr>
                <w:rFonts w:ascii="Arial" w:hAnsi="Arial"/>
                <w:color w:val="4BACC6" w:themeColor="accent5"/>
              </w:rPr>
              <w:t>.5</w:t>
            </w:r>
          </w:p>
        </w:tc>
      </w:tr>
      <w:tr w:rsidR="008148F6" w:rsidRPr="00B85BAE" w14:paraId="591B5673" w14:textId="77777777" w:rsidTr="00297E93">
        <w:tc>
          <w:tcPr>
            <w:tcW w:w="5400" w:type="dxa"/>
          </w:tcPr>
          <w:p w14:paraId="690B993A" w14:textId="67AB9D1F" w:rsidR="008148F6" w:rsidRPr="00B85BAE" w:rsidRDefault="00297E93" w:rsidP="009A74D3">
            <w:pPr>
              <w:pStyle w:val="YRG-Normal"/>
              <w:spacing w:line="276" w:lineRule="auto"/>
              <w:rPr>
                <w:rFonts w:ascii="Arial" w:hAnsi="Arial"/>
              </w:rPr>
            </w:pPr>
            <w:r>
              <w:rPr>
                <w:rFonts w:ascii="Arial" w:hAnsi="Arial"/>
                <w:color w:val="4BACC6" w:themeColor="accent5"/>
              </w:rPr>
              <w:t>Waste type 2, example: Metal</w:t>
            </w:r>
          </w:p>
        </w:tc>
        <w:tc>
          <w:tcPr>
            <w:tcW w:w="2880" w:type="dxa"/>
          </w:tcPr>
          <w:p w14:paraId="7D023795" w14:textId="7AC606E1" w:rsidR="008148F6" w:rsidRPr="00297E93" w:rsidRDefault="00821542" w:rsidP="009A74D3">
            <w:pPr>
              <w:pStyle w:val="YRG-Normal"/>
              <w:spacing w:line="276" w:lineRule="auto"/>
              <w:rPr>
                <w:rFonts w:ascii="Arial" w:hAnsi="Arial"/>
                <w:color w:val="4BACC6" w:themeColor="accent5"/>
              </w:rPr>
            </w:pPr>
            <w:r w:rsidRPr="00297E93">
              <w:rPr>
                <w:rFonts w:ascii="Arial" w:hAnsi="Arial"/>
                <w:color w:val="4BACC6" w:themeColor="accent5"/>
              </w:rPr>
              <w:t>1</w:t>
            </w:r>
            <w:r w:rsidR="00297E93" w:rsidRPr="00297E93">
              <w:rPr>
                <w:rFonts w:ascii="Arial" w:hAnsi="Arial"/>
                <w:color w:val="4BACC6" w:themeColor="accent5"/>
              </w:rPr>
              <w:t>7</w:t>
            </w:r>
          </w:p>
        </w:tc>
      </w:tr>
      <w:tr w:rsidR="008148F6" w:rsidRPr="00B85BAE" w14:paraId="06A5DB1A" w14:textId="77777777" w:rsidTr="00297E93">
        <w:tc>
          <w:tcPr>
            <w:tcW w:w="5400" w:type="dxa"/>
          </w:tcPr>
          <w:p w14:paraId="0662243E" w14:textId="41DC6A6E" w:rsidR="008148F6" w:rsidRPr="00B85BAE" w:rsidRDefault="00297E93" w:rsidP="009A74D3">
            <w:pPr>
              <w:pStyle w:val="YRG-Normal"/>
              <w:spacing w:line="276" w:lineRule="auto"/>
              <w:rPr>
                <w:rFonts w:ascii="Arial" w:hAnsi="Arial"/>
              </w:rPr>
            </w:pPr>
            <w:r>
              <w:rPr>
                <w:rFonts w:ascii="Arial" w:hAnsi="Arial"/>
                <w:color w:val="4BACC6" w:themeColor="accent5"/>
              </w:rPr>
              <w:t>Waste type 3, example: Wood</w:t>
            </w:r>
          </w:p>
        </w:tc>
        <w:tc>
          <w:tcPr>
            <w:tcW w:w="2880" w:type="dxa"/>
          </w:tcPr>
          <w:p w14:paraId="7E14FFCA" w14:textId="7ADD7012" w:rsidR="008148F6" w:rsidRPr="00297E93" w:rsidRDefault="00821542" w:rsidP="009A74D3">
            <w:pPr>
              <w:pStyle w:val="YRG-Normal"/>
              <w:spacing w:line="276" w:lineRule="auto"/>
              <w:rPr>
                <w:rFonts w:ascii="Arial" w:hAnsi="Arial"/>
                <w:color w:val="4BACC6" w:themeColor="accent5"/>
              </w:rPr>
            </w:pPr>
            <w:r w:rsidRPr="00297E93">
              <w:rPr>
                <w:rFonts w:ascii="Arial" w:hAnsi="Arial"/>
                <w:color w:val="4BACC6" w:themeColor="accent5"/>
              </w:rPr>
              <w:t>2</w:t>
            </w:r>
            <w:r w:rsidR="00297E93" w:rsidRPr="00297E93">
              <w:rPr>
                <w:rFonts w:ascii="Arial" w:hAnsi="Arial"/>
                <w:color w:val="4BACC6" w:themeColor="accent5"/>
              </w:rPr>
              <w:t>1</w:t>
            </w:r>
          </w:p>
        </w:tc>
      </w:tr>
      <w:tr w:rsidR="008148F6" w:rsidRPr="00B85BAE" w14:paraId="3D872E69" w14:textId="77777777" w:rsidTr="00297E93">
        <w:tc>
          <w:tcPr>
            <w:tcW w:w="5400" w:type="dxa"/>
          </w:tcPr>
          <w:p w14:paraId="3CC24CCB" w14:textId="2E910802" w:rsidR="008148F6" w:rsidRPr="00B85BAE" w:rsidRDefault="00297E93" w:rsidP="009A74D3">
            <w:pPr>
              <w:pStyle w:val="YRG-Normal"/>
              <w:spacing w:line="276" w:lineRule="auto"/>
              <w:rPr>
                <w:rFonts w:ascii="Arial" w:hAnsi="Arial"/>
              </w:rPr>
            </w:pPr>
            <w:r>
              <w:rPr>
                <w:rFonts w:ascii="Arial" w:hAnsi="Arial"/>
                <w:color w:val="4BACC6" w:themeColor="accent5"/>
              </w:rPr>
              <w:t>Waste type 4, example: Plastic</w:t>
            </w:r>
          </w:p>
        </w:tc>
        <w:tc>
          <w:tcPr>
            <w:tcW w:w="2880" w:type="dxa"/>
          </w:tcPr>
          <w:p w14:paraId="0508CC02" w14:textId="496B3276" w:rsidR="008148F6" w:rsidRPr="00297E93" w:rsidRDefault="00297E93" w:rsidP="009A74D3">
            <w:pPr>
              <w:pStyle w:val="YRG-Normal"/>
              <w:spacing w:line="276" w:lineRule="auto"/>
              <w:rPr>
                <w:rFonts w:ascii="Arial" w:hAnsi="Arial"/>
                <w:color w:val="4BACC6" w:themeColor="accent5"/>
              </w:rPr>
            </w:pPr>
            <w:r w:rsidRPr="00297E93">
              <w:rPr>
                <w:rFonts w:ascii="Arial" w:hAnsi="Arial"/>
                <w:color w:val="4BACC6" w:themeColor="accent5"/>
              </w:rPr>
              <w:t>8</w:t>
            </w:r>
          </w:p>
        </w:tc>
      </w:tr>
      <w:tr w:rsidR="008148F6" w:rsidRPr="00B85BAE" w14:paraId="4B1C6D25" w14:textId="77777777" w:rsidTr="00297E93">
        <w:tc>
          <w:tcPr>
            <w:tcW w:w="5400" w:type="dxa"/>
          </w:tcPr>
          <w:p w14:paraId="6DF4E2E7" w14:textId="1F421639" w:rsidR="008148F6" w:rsidRPr="00B85BAE" w:rsidRDefault="00297E93" w:rsidP="009A74D3">
            <w:pPr>
              <w:pStyle w:val="YRG-Normal"/>
              <w:spacing w:line="276" w:lineRule="auto"/>
              <w:rPr>
                <w:rFonts w:ascii="Arial" w:hAnsi="Arial"/>
              </w:rPr>
            </w:pPr>
            <w:r>
              <w:rPr>
                <w:rFonts w:ascii="Arial" w:hAnsi="Arial"/>
                <w:color w:val="4BACC6" w:themeColor="accent5"/>
              </w:rPr>
              <w:t>Waste type 5, example: Paper, cardboard, and sheetrock</w:t>
            </w:r>
          </w:p>
        </w:tc>
        <w:tc>
          <w:tcPr>
            <w:tcW w:w="2880" w:type="dxa"/>
          </w:tcPr>
          <w:p w14:paraId="66B1B93E" w14:textId="33A6FCD8" w:rsidR="008148F6" w:rsidRPr="00297E93" w:rsidRDefault="00297E93" w:rsidP="009A74D3">
            <w:pPr>
              <w:pStyle w:val="YRG-Normal"/>
              <w:spacing w:line="276" w:lineRule="auto"/>
              <w:rPr>
                <w:rFonts w:ascii="Arial" w:hAnsi="Arial"/>
                <w:color w:val="4BACC6" w:themeColor="accent5"/>
              </w:rPr>
            </w:pPr>
            <w:r w:rsidRPr="00297E93">
              <w:rPr>
                <w:rFonts w:ascii="Arial" w:hAnsi="Arial"/>
                <w:color w:val="4BACC6" w:themeColor="accent5"/>
              </w:rPr>
              <w:t>38</w:t>
            </w:r>
          </w:p>
        </w:tc>
      </w:tr>
      <w:tr w:rsidR="00C2198E" w:rsidRPr="00B85BAE" w14:paraId="5537A2A3" w14:textId="77777777" w:rsidTr="00297E93">
        <w:tc>
          <w:tcPr>
            <w:tcW w:w="5400" w:type="dxa"/>
          </w:tcPr>
          <w:p w14:paraId="3D6ABE4C" w14:textId="5638087C" w:rsidR="00C2198E" w:rsidRPr="00B85BAE" w:rsidRDefault="00297E93" w:rsidP="009A74D3">
            <w:pPr>
              <w:pStyle w:val="YRG-Normal"/>
              <w:spacing w:line="276" w:lineRule="auto"/>
              <w:jc w:val="left"/>
              <w:rPr>
                <w:rFonts w:ascii="Arial" w:hAnsi="Arial"/>
              </w:rPr>
            </w:pPr>
            <w:r>
              <w:rPr>
                <w:rFonts w:ascii="Arial" w:hAnsi="Arial"/>
                <w:color w:val="4BACC6" w:themeColor="accent5"/>
              </w:rPr>
              <w:t>Waste (Landfill – non-</w:t>
            </w:r>
            <w:r w:rsidR="00C2198E" w:rsidRPr="00297E93">
              <w:rPr>
                <w:rFonts w:ascii="Arial" w:hAnsi="Arial"/>
                <w:color w:val="4BACC6" w:themeColor="accent5"/>
              </w:rPr>
              <w:t>recyclable)</w:t>
            </w:r>
          </w:p>
        </w:tc>
        <w:tc>
          <w:tcPr>
            <w:tcW w:w="2880" w:type="dxa"/>
          </w:tcPr>
          <w:p w14:paraId="4313447F" w14:textId="17C5FA7C" w:rsidR="00C2198E" w:rsidRPr="00297E93" w:rsidRDefault="00297E93" w:rsidP="009A74D3">
            <w:pPr>
              <w:pStyle w:val="YRG-Normal"/>
              <w:spacing w:line="276" w:lineRule="auto"/>
              <w:jc w:val="left"/>
              <w:rPr>
                <w:rFonts w:ascii="Arial" w:hAnsi="Arial"/>
                <w:color w:val="4BACC6" w:themeColor="accent5"/>
              </w:rPr>
            </w:pPr>
            <w:r w:rsidRPr="00297E93">
              <w:rPr>
                <w:rFonts w:ascii="Arial" w:hAnsi="Arial"/>
                <w:color w:val="4BACC6" w:themeColor="accent5"/>
              </w:rPr>
              <w:t>43.5</w:t>
            </w:r>
          </w:p>
        </w:tc>
      </w:tr>
    </w:tbl>
    <w:p w14:paraId="213B42E9" w14:textId="77777777" w:rsidR="000F026E" w:rsidRPr="00B85BAE" w:rsidRDefault="000F026E" w:rsidP="009A74D3">
      <w:pPr>
        <w:pStyle w:val="YRG-SubHeadings"/>
        <w:spacing w:line="276" w:lineRule="auto"/>
        <w:rPr>
          <w:rFonts w:ascii="Arial" w:hAnsi="Arial"/>
        </w:rPr>
      </w:pPr>
    </w:p>
    <w:p w14:paraId="36B7810C" w14:textId="2921E1F0" w:rsidR="008A300B" w:rsidRPr="00297E93" w:rsidRDefault="008A300B" w:rsidP="009A74D3">
      <w:pPr>
        <w:pStyle w:val="YRG-SubHeadings"/>
        <w:tabs>
          <w:tab w:val="left" w:pos="0"/>
        </w:tabs>
        <w:spacing w:line="276" w:lineRule="auto"/>
        <w:rPr>
          <w:rFonts w:ascii="Arial" w:hAnsi="Arial"/>
          <w:color w:val="auto"/>
        </w:rPr>
      </w:pPr>
      <w:r w:rsidRPr="00297E93">
        <w:rPr>
          <w:rFonts w:ascii="Arial" w:hAnsi="Arial"/>
          <w:color w:val="auto"/>
        </w:rPr>
        <w:t>Diversion Strategies</w:t>
      </w:r>
    </w:p>
    <w:p w14:paraId="15BB42BC" w14:textId="06245330" w:rsidR="000F026E" w:rsidRPr="00297E93" w:rsidRDefault="00297E93" w:rsidP="009A74D3">
      <w:pPr>
        <w:pStyle w:val="YRG-Normal"/>
        <w:spacing w:line="276" w:lineRule="auto"/>
        <w:jc w:val="left"/>
        <w:rPr>
          <w:rFonts w:ascii="Arial" w:hAnsi="Arial"/>
        </w:rPr>
      </w:pPr>
      <w:r w:rsidRPr="00297E93">
        <w:rPr>
          <w:rFonts w:ascii="Arial" w:hAnsi="Arial"/>
          <w:color w:val="4BACC6" w:themeColor="accent5"/>
        </w:rPr>
        <w:t>&lt;Company&gt;</w:t>
      </w:r>
      <w:r w:rsidR="00BB3C32" w:rsidRPr="00297E93">
        <w:rPr>
          <w:rFonts w:ascii="Arial" w:hAnsi="Arial"/>
          <w:color w:val="4BACC6" w:themeColor="accent5"/>
        </w:rPr>
        <w:t xml:space="preserve"> </w:t>
      </w:r>
      <w:r w:rsidR="00BB3C32" w:rsidRPr="00297E93">
        <w:rPr>
          <w:rFonts w:ascii="Arial" w:hAnsi="Arial"/>
        </w:rPr>
        <w:t xml:space="preserve">is the General Contractor overseeing the renovations taking place at </w:t>
      </w:r>
      <w:r w:rsidRPr="00297E93">
        <w:rPr>
          <w:color w:val="4BACC6" w:themeColor="accent5"/>
        </w:rPr>
        <w:t>&lt;building name&gt;</w:t>
      </w:r>
      <w:r w:rsidRPr="00297E93">
        <w:rPr>
          <w:rFonts w:ascii="Arial" w:hAnsi="Arial"/>
        </w:rPr>
        <w:t xml:space="preserve"> </w:t>
      </w:r>
      <w:r w:rsidR="00BB3C32" w:rsidRPr="00297E93">
        <w:rPr>
          <w:rFonts w:ascii="Arial" w:hAnsi="Arial"/>
        </w:rPr>
        <w:t xml:space="preserve">during the LEED-EBOM </w:t>
      </w:r>
      <w:r w:rsidR="00BB3C32" w:rsidRPr="00297E93">
        <w:rPr>
          <w:rFonts w:ascii="Arial" w:hAnsi="Arial"/>
          <w:color w:val="auto"/>
        </w:rPr>
        <w:t>v4 performance period.</w:t>
      </w:r>
      <w:r w:rsidR="00D1197F">
        <w:rPr>
          <w:rFonts w:ascii="Arial" w:hAnsi="Arial"/>
          <w:color w:val="auto"/>
        </w:rPr>
        <w:t xml:space="preserve"> </w:t>
      </w:r>
      <w:r w:rsidR="00D1197F" w:rsidRPr="00297E93">
        <w:rPr>
          <w:rFonts w:ascii="Arial" w:hAnsi="Arial"/>
          <w:color w:val="4BACC6" w:themeColor="accent5"/>
        </w:rPr>
        <w:t xml:space="preserve">&lt;Company&gt; </w:t>
      </w:r>
      <w:r w:rsidR="00D1197F">
        <w:rPr>
          <w:rFonts w:ascii="Arial" w:hAnsi="Arial"/>
          <w:color w:val="auto"/>
        </w:rPr>
        <w:t>is the waste hauling company.</w:t>
      </w:r>
      <w:r w:rsidR="00BB3C32" w:rsidRPr="00297E93">
        <w:rPr>
          <w:rFonts w:ascii="Arial" w:hAnsi="Arial"/>
          <w:color w:val="auto"/>
        </w:rPr>
        <w:t xml:space="preserve"> </w:t>
      </w:r>
      <w:r w:rsidR="00B42653" w:rsidRPr="00297E93">
        <w:rPr>
          <w:rFonts w:ascii="Arial" w:hAnsi="Arial"/>
          <w:color w:val="auto"/>
        </w:rPr>
        <w:t>The waste hauler</w:t>
      </w:r>
      <w:r w:rsidR="007E4286" w:rsidRPr="00297E93">
        <w:rPr>
          <w:rFonts w:ascii="Arial" w:hAnsi="Arial"/>
          <w:color w:val="auto"/>
        </w:rPr>
        <w:t xml:space="preserve"> picks </w:t>
      </w:r>
      <w:r w:rsidR="00FC1AA6" w:rsidRPr="00297E93">
        <w:rPr>
          <w:rFonts w:ascii="Arial" w:hAnsi="Arial"/>
          <w:color w:val="auto"/>
        </w:rPr>
        <w:t xml:space="preserve">up </w:t>
      </w:r>
      <w:r w:rsidR="007E4286" w:rsidRPr="00297E93">
        <w:rPr>
          <w:rFonts w:ascii="Arial" w:hAnsi="Arial"/>
          <w:color w:val="auto"/>
        </w:rPr>
        <w:t>c</w:t>
      </w:r>
      <w:r w:rsidR="00BB3C32" w:rsidRPr="00297E93">
        <w:rPr>
          <w:rFonts w:ascii="Arial" w:hAnsi="Arial"/>
          <w:color w:val="auto"/>
        </w:rPr>
        <w:t xml:space="preserve">onstruction and demolition waste </w:t>
      </w:r>
      <w:r w:rsidR="007E4286" w:rsidRPr="00297E93">
        <w:rPr>
          <w:rFonts w:ascii="Arial" w:hAnsi="Arial"/>
          <w:color w:val="auto"/>
        </w:rPr>
        <w:t>in</w:t>
      </w:r>
      <w:r w:rsidR="00A05106" w:rsidRPr="00297E93">
        <w:rPr>
          <w:rFonts w:ascii="Arial" w:hAnsi="Arial"/>
          <w:color w:val="auto"/>
        </w:rPr>
        <w:t xml:space="preserve"> a truck dedicated</w:t>
      </w:r>
      <w:r w:rsidR="00A05106" w:rsidRPr="00297E93">
        <w:rPr>
          <w:rFonts w:ascii="Arial" w:hAnsi="Arial"/>
        </w:rPr>
        <w:t xml:space="preserve"> to </w:t>
      </w:r>
      <w:r w:rsidRPr="00297E93">
        <w:rPr>
          <w:rFonts w:ascii="Arial" w:hAnsi="Arial"/>
        </w:rPr>
        <w:t>the building</w:t>
      </w:r>
      <w:r w:rsidR="00A05106" w:rsidRPr="00297E93">
        <w:rPr>
          <w:rFonts w:ascii="Arial" w:hAnsi="Arial"/>
        </w:rPr>
        <w:t>. The w</w:t>
      </w:r>
      <w:r w:rsidR="007E4286" w:rsidRPr="00297E93">
        <w:rPr>
          <w:rFonts w:ascii="Arial" w:hAnsi="Arial"/>
        </w:rPr>
        <w:t xml:space="preserve">aste is taken </w:t>
      </w:r>
      <w:r w:rsidR="00BB3C32" w:rsidRPr="00297E93">
        <w:rPr>
          <w:rFonts w:ascii="Arial" w:hAnsi="Arial"/>
        </w:rPr>
        <w:t xml:space="preserve">to </w:t>
      </w:r>
      <w:r w:rsidR="00D511CB" w:rsidRPr="00297E93">
        <w:rPr>
          <w:rFonts w:ascii="Arial" w:hAnsi="Arial"/>
        </w:rPr>
        <w:t>a</w:t>
      </w:r>
      <w:r w:rsidR="00BB3C32" w:rsidRPr="00297E93">
        <w:rPr>
          <w:rFonts w:ascii="Arial" w:hAnsi="Arial"/>
        </w:rPr>
        <w:t xml:space="preserve"> transfer station for sorting and recycling. </w:t>
      </w:r>
      <w:r w:rsidR="00B42653" w:rsidRPr="00297E93">
        <w:rPr>
          <w:rFonts w:ascii="Arial" w:hAnsi="Arial"/>
        </w:rPr>
        <w:t>The transfer station</w:t>
      </w:r>
      <w:r w:rsidR="00BB3C32" w:rsidRPr="00297E93">
        <w:rPr>
          <w:rFonts w:ascii="Arial" w:hAnsi="Arial"/>
        </w:rPr>
        <w:t xml:space="preserve"> provides a detailed </w:t>
      </w:r>
      <w:r w:rsidR="00942EEA" w:rsidRPr="00297E93">
        <w:rPr>
          <w:rFonts w:ascii="Arial" w:hAnsi="Arial"/>
        </w:rPr>
        <w:t xml:space="preserve">tracking log </w:t>
      </w:r>
      <w:r w:rsidR="00887241" w:rsidRPr="00297E93">
        <w:rPr>
          <w:rFonts w:ascii="Arial" w:hAnsi="Arial"/>
        </w:rPr>
        <w:t>showing the type and</w:t>
      </w:r>
      <w:r w:rsidR="00BB3C32" w:rsidRPr="00297E93">
        <w:rPr>
          <w:rFonts w:ascii="Arial" w:hAnsi="Arial"/>
        </w:rPr>
        <w:t xml:space="preserve"> quantity </w:t>
      </w:r>
      <w:r w:rsidR="00564049" w:rsidRPr="00297E93">
        <w:rPr>
          <w:rFonts w:ascii="Arial" w:hAnsi="Arial"/>
        </w:rPr>
        <w:t xml:space="preserve">(by weight) </w:t>
      </w:r>
      <w:r w:rsidR="00847B72" w:rsidRPr="00297E93">
        <w:rPr>
          <w:rFonts w:ascii="Arial" w:hAnsi="Arial"/>
        </w:rPr>
        <w:t xml:space="preserve">of materials </w:t>
      </w:r>
      <w:r w:rsidR="00942EEA" w:rsidRPr="00297E93">
        <w:rPr>
          <w:rFonts w:ascii="Arial" w:hAnsi="Arial"/>
        </w:rPr>
        <w:t>collected and recycled or sent to landfill</w:t>
      </w:r>
      <w:r w:rsidR="00D511CB" w:rsidRPr="00297E93">
        <w:rPr>
          <w:rFonts w:ascii="Arial" w:hAnsi="Arial"/>
        </w:rPr>
        <w:t xml:space="preserve">. </w:t>
      </w:r>
      <w:r w:rsidR="00081404" w:rsidRPr="00297E93">
        <w:rPr>
          <w:rFonts w:ascii="Arial" w:hAnsi="Arial"/>
        </w:rPr>
        <w:t xml:space="preserve">The tracking log represents actual recycling and landfill data for the construction waste from </w:t>
      </w:r>
      <w:r w:rsidR="00D1197F" w:rsidRPr="00297E93">
        <w:rPr>
          <w:color w:val="4BACC6" w:themeColor="accent5"/>
        </w:rPr>
        <w:t>&lt;building name&gt;</w:t>
      </w:r>
      <w:r w:rsidR="00081404" w:rsidRPr="00297E93">
        <w:rPr>
          <w:rFonts w:ascii="Arial" w:hAnsi="Arial"/>
        </w:rPr>
        <w:t>. Average recycling rates for the transfer station are not applied.</w:t>
      </w:r>
    </w:p>
    <w:p w14:paraId="104D0996" w14:textId="32719F7B" w:rsidR="00165F94" w:rsidRPr="00B85BAE" w:rsidRDefault="00165F94" w:rsidP="009A74D3">
      <w:pPr>
        <w:pStyle w:val="YRG-SubHeadings"/>
        <w:spacing w:line="276" w:lineRule="auto"/>
        <w:rPr>
          <w:rFonts w:ascii="Arial" w:hAnsi="Arial"/>
        </w:rPr>
      </w:pPr>
    </w:p>
    <w:p w14:paraId="141518CE" w14:textId="34086C65" w:rsidR="00887241" w:rsidRPr="00297E93" w:rsidRDefault="00887241" w:rsidP="009A74D3">
      <w:pPr>
        <w:pStyle w:val="YRG-SubHeadings"/>
        <w:tabs>
          <w:tab w:val="left" w:pos="0"/>
        </w:tabs>
        <w:spacing w:line="276" w:lineRule="auto"/>
        <w:rPr>
          <w:rFonts w:ascii="Arial" w:hAnsi="Arial"/>
          <w:color w:val="auto"/>
        </w:rPr>
      </w:pPr>
      <w:r w:rsidRPr="00297E93">
        <w:rPr>
          <w:rFonts w:ascii="Arial" w:hAnsi="Arial"/>
          <w:color w:val="auto"/>
        </w:rPr>
        <w:t>Quality Control</w:t>
      </w:r>
    </w:p>
    <w:p w14:paraId="1D59AB80" w14:textId="5C5DD8EC" w:rsidR="00887241" w:rsidRPr="00B85BAE" w:rsidRDefault="00533F6E" w:rsidP="009A74D3">
      <w:pPr>
        <w:pStyle w:val="YRGStandard"/>
        <w:spacing w:line="276" w:lineRule="auto"/>
      </w:pPr>
      <w:r w:rsidRPr="00B85BAE">
        <w:t xml:space="preserve">All construction/renovation projects that take place at </w:t>
      </w:r>
      <w:r w:rsidR="008C01D1" w:rsidRPr="00297E93">
        <w:rPr>
          <w:color w:val="4BACC6" w:themeColor="accent5"/>
        </w:rPr>
        <w:t>&lt;building name&gt;</w:t>
      </w:r>
      <w:r w:rsidR="008C01D1" w:rsidRPr="00297E93">
        <w:t xml:space="preserve"> </w:t>
      </w:r>
      <w:r w:rsidRPr="00B85BAE">
        <w:t>must follow set procedures for managing construction debris. Projects may not place any construction debris in the normal building waste streams. Appropriate collection containers must be used and managed by the contractor(s). The General Contractor, building engineering and property management team</w:t>
      </w:r>
      <w:r w:rsidR="002903C5" w:rsidRPr="00B85BAE">
        <w:t>s</w:t>
      </w:r>
      <w:r w:rsidRPr="00B85BAE">
        <w:t xml:space="preserve">, and </w:t>
      </w:r>
      <w:r w:rsidR="00D1197F">
        <w:t xml:space="preserve">building </w:t>
      </w:r>
      <w:r w:rsidRPr="00B85BAE">
        <w:t>custodial team are all responsible for monitoring construction projects and the general waste stream to confirm that this plan is being followed.</w:t>
      </w:r>
      <w:r w:rsidR="00527F46" w:rsidRPr="00B85BAE">
        <w:t xml:space="preserve"> </w:t>
      </w:r>
    </w:p>
    <w:p w14:paraId="0D922EC4" w14:textId="77777777" w:rsidR="00527F46" w:rsidRPr="00B85BAE" w:rsidRDefault="00527F46" w:rsidP="009A74D3">
      <w:pPr>
        <w:pStyle w:val="YRGStandard"/>
        <w:spacing w:line="276" w:lineRule="auto"/>
      </w:pPr>
    </w:p>
    <w:p w14:paraId="216F6380" w14:textId="47C52827" w:rsidR="00527F46" w:rsidRPr="00297E93" w:rsidRDefault="00527F46" w:rsidP="009A74D3">
      <w:pPr>
        <w:pStyle w:val="YRG-SubHeadings"/>
        <w:tabs>
          <w:tab w:val="left" w:pos="0"/>
        </w:tabs>
        <w:spacing w:line="276" w:lineRule="auto"/>
        <w:rPr>
          <w:rFonts w:ascii="Arial" w:hAnsi="Arial"/>
          <w:color w:val="auto"/>
        </w:rPr>
      </w:pPr>
      <w:r w:rsidRPr="00297E93">
        <w:rPr>
          <w:rFonts w:ascii="Arial" w:hAnsi="Arial"/>
          <w:color w:val="auto"/>
        </w:rPr>
        <w:t>Exclusions</w:t>
      </w:r>
    </w:p>
    <w:p w14:paraId="3C18E0A8" w14:textId="15163EBA" w:rsidR="00527F46" w:rsidRPr="00B85BAE" w:rsidRDefault="00527F46" w:rsidP="009A74D3">
      <w:pPr>
        <w:pStyle w:val="YRGStandard"/>
        <w:spacing w:line="276" w:lineRule="auto"/>
      </w:pPr>
      <w:r w:rsidRPr="00B85BAE">
        <w:t xml:space="preserve">The following materials shall be excluded from the LEED calculations: land clearing debris; </w:t>
      </w:r>
      <w:r w:rsidR="009113EE" w:rsidRPr="00B85BAE">
        <w:t xml:space="preserve">components not considered base building elements; </w:t>
      </w:r>
      <w:r w:rsidRPr="00B85BAE">
        <w:t>elevators</w:t>
      </w:r>
      <w:r w:rsidR="009113EE" w:rsidRPr="00B85BAE">
        <w:t xml:space="preserve"> and</w:t>
      </w:r>
      <w:r w:rsidRPr="00B85BAE">
        <w:t xml:space="preserve"> </w:t>
      </w:r>
      <w:r w:rsidR="009113EE" w:rsidRPr="00B85BAE">
        <w:t xml:space="preserve">other specialty items; </w:t>
      </w:r>
      <w:r w:rsidRPr="00B85BAE">
        <w:t>mechanical, electrical, plumbing components; and items that pose human health concerns.</w:t>
      </w:r>
    </w:p>
    <w:sectPr w:rsidR="00527F46" w:rsidRPr="00B85BAE" w:rsidSect="001059D8">
      <w:pgSz w:w="12240" w:h="15840"/>
      <w:pgMar w:top="1440" w:right="1440" w:bottom="79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0000000000000000000"/>
    <w:charset w:val="00"/>
    <w:family w:val="swiss"/>
    <w:pitch w:val="variable"/>
    <w:sig w:usb0="E00002FF" w:usb1="5000785B"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3C705A"/>
    <w:multiLevelType w:val="multilevel"/>
    <w:tmpl w:val="7EB0BA6C"/>
    <w:lvl w:ilvl="0">
      <w:start w:val="1"/>
      <w:numFmt w:val="decimal"/>
      <w:lvlText w:val="%1."/>
      <w:lvlJc w:val="left"/>
      <w:pPr>
        <w:ind w:left="360" w:hanging="360"/>
      </w:pPr>
      <w:rPr>
        <w:rFonts w:ascii="Helvetica" w:hAnsi="Helvetica" w:hint="default"/>
        <w:b/>
        <w:bCs/>
        <w:i w:val="0"/>
        <w:iCs w:val="0"/>
        <w:sz w:val="20"/>
        <w:szCs w:val="20"/>
      </w:rPr>
    </w:lvl>
    <w:lvl w:ilvl="1">
      <w:start w:val="1"/>
      <w:numFmt w:val="decimal"/>
      <w:lvlRestart w:val="0"/>
      <w:lvlText w:val="%1.%2."/>
      <w:lvlJc w:val="left"/>
      <w:pPr>
        <w:ind w:left="792" w:hanging="432"/>
      </w:pPr>
      <w:rPr>
        <w:rFonts w:ascii="Helvetica" w:hAnsi="Helvetica" w:hint="default"/>
        <w:b/>
        <w:bCs/>
        <w:i w:val="0"/>
        <w:iCs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97D7FC0"/>
    <w:multiLevelType w:val="multilevel"/>
    <w:tmpl w:val="9F062B06"/>
    <w:lvl w:ilvl="0">
      <w:start w:val="1"/>
      <w:numFmt w:val="decimal"/>
      <w:pStyle w:val="YRG-Subsection10font"/>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3FF54C38"/>
    <w:multiLevelType w:val="hybridMultilevel"/>
    <w:tmpl w:val="6B228DB0"/>
    <w:lvl w:ilvl="0" w:tplc="23F6D55E">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1D51B2"/>
    <w:multiLevelType w:val="hybridMultilevel"/>
    <w:tmpl w:val="B2C26DC6"/>
    <w:lvl w:ilvl="0" w:tplc="CC1026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E442AC"/>
    <w:multiLevelType w:val="hybridMultilevel"/>
    <w:tmpl w:val="A1C8F0F2"/>
    <w:lvl w:ilvl="0" w:tplc="BEE03202">
      <w:start w:val="1"/>
      <w:numFmt w:val="bullet"/>
      <w:lvlText w:val=""/>
      <w:lvlJc w:val="left"/>
      <w:pPr>
        <w:ind w:left="1080" w:hanging="360"/>
      </w:pPr>
      <w:rPr>
        <w:rFonts w:ascii="Symbol" w:hAnsi="Symbol" w:hint="default"/>
      </w:rPr>
    </w:lvl>
    <w:lvl w:ilvl="1" w:tplc="B6A6888C">
      <w:start w:val="1"/>
      <w:numFmt w:val="bullet"/>
      <w:lvlText w:val="o"/>
      <w:lvlJc w:val="left"/>
      <w:pPr>
        <w:ind w:left="1800" w:hanging="360"/>
      </w:pPr>
      <w:rPr>
        <w:rFonts w:ascii="Courier New" w:hAnsi="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72D7807"/>
    <w:multiLevelType w:val="singleLevel"/>
    <w:tmpl w:val="F592A3A6"/>
    <w:lvl w:ilvl="0">
      <w:start w:val="1"/>
      <w:numFmt w:val="decimal"/>
      <w:pStyle w:val="YRG-Task12font"/>
      <w:lvlText w:val="Task %1."/>
      <w:lvlJc w:val="left"/>
      <w:pPr>
        <w:ind w:left="0" w:firstLine="0"/>
      </w:pPr>
      <w:rPr>
        <w:rFonts w:ascii="Helvetica" w:hAnsi="Helvetica" w:hint="default"/>
        <w:b/>
        <w:bCs/>
        <w:i w:val="0"/>
        <w:iCs w:val="0"/>
        <w:color w:val="CC0000"/>
        <w:sz w:val="24"/>
        <w:szCs w:val="24"/>
      </w:rPr>
    </w:lvl>
  </w:abstractNum>
  <w:abstractNum w:abstractNumId="6">
    <w:nsid w:val="6AE17F37"/>
    <w:multiLevelType w:val="hybridMultilevel"/>
    <w:tmpl w:val="F356B7DE"/>
    <w:lvl w:ilvl="0" w:tplc="4F9EC7A6">
      <w:start w:val="1"/>
      <w:numFmt w:val="decimal"/>
      <w:pStyle w:val="YRG-Task10font"/>
      <w:lvlText w:val="Task %1."/>
      <w:lvlJc w:val="left"/>
      <w:pPr>
        <w:ind w:left="720" w:hanging="360"/>
      </w:pPr>
      <w:rPr>
        <w:rFonts w:ascii="Helvetica" w:hAnsi="Helvetica" w:hint="default"/>
        <w:b/>
        <w:bCs/>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AE386C"/>
    <w:multiLevelType w:val="multilevel"/>
    <w:tmpl w:val="44E6ABE2"/>
    <w:lvl w:ilvl="0">
      <w:start w:val="1"/>
      <w:numFmt w:val="bullet"/>
      <w:pStyle w:val="YRG-Bulletlist"/>
      <w:lvlText w:val=""/>
      <w:lvlJc w:val="left"/>
      <w:pPr>
        <w:ind w:left="360" w:hanging="360"/>
      </w:pPr>
      <w:rPr>
        <w:rFonts w:ascii="Wingdings" w:hAnsi="Wingdings" w:hint="default"/>
        <w:sz w:val="20"/>
        <w:szCs w:val="20"/>
      </w:rPr>
    </w:lvl>
    <w:lvl w:ilvl="1">
      <w:start w:val="1"/>
      <w:numFmt w:val="bullet"/>
      <w:lvlText w:val=""/>
      <w:lvlJc w:val="left"/>
      <w:pPr>
        <w:ind w:left="720" w:hanging="360"/>
      </w:pPr>
      <w:rPr>
        <w:rFonts w:ascii="Wingdings" w:hAnsi="Wingdings" w:hint="default"/>
        <w:sz w:val="20"/>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8">
    <w:nsid w:val="7AE97EC4"/>
    <w:multiLevelType w:val="hybridMultilevel"/>
    <w:tmpl w:val="93EC5CE0"/>
    <w:lvl w:ilvl="0" w:tplc="3AEE3B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4"/>
  </w:num>
  <w:num w:numId="4">
    <w:abstractNumId w:val="4"/>
  </w:num>
  <w:num w:numId="5">
    <w:abstractNumId w:val="2"/>
  </w:num>
  <w:num w:numId="6">
    <w:abstractNumId w:val="7"/>
  </w:num>
  <w:num w:numId="7">
    <w:abstractNumId w:val="0"/>
  </w:num>
  <w:num w:numId="8">
    <w:abstractNumId w:val="1"/>
  </w:num>
  <w:num w:numId="9">
    <w:abstractNumId w:val="6"/>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1A4"/>
    <w:rsid w:val="00081404"/>
    <w:rsid w:val="000D72D6"/>
    <w:rsid w:val="000E51DB"/>
    <w:rsid w:val="000F026E"/>
    <w:rsid w:val="00100304"/>
    <w:rsid w:val="001059D8"/>
    <w:rsid w:val="0015691D"/>
    <w:rsid w:val="001639F1"/>
    <w:rsid w:val="00165F94"/>
    <w:rsid w:val="001D202B"/>
    <w:rsid w:val="00252DE3"/>
    <w:rsid w:val="002903C5"/>
    <w:rsid w:val="00297E93"/>
    <w:rsid w:val="002D41A4"/>
    <w:rsid w:val="002E3495"/>
    <w:rsid w:val="00422A88"/>
    <w:rsid w:val="004829B4"/>
    <w:rsid w:val="00527F46"/>
    <w:rsid w:val="00533F6E"/>
    <w:rsid w:val="00556CD0"/>
    <w:rsid w:val="00564049"/>
    <w:rsid w:val="00573B14"/>
    <w:rsid w:val="00587016"/>
    <w:rsid w:val="005F217D"/>
    <w:rsid w:val="0065340E"/>
    <w:rsid w:val="006C57B8"/>
    <w:rsid w:val="006E38F4"/>
    <w:rsid w:val="00742952"/>
    <w:rsid w:val="0077546E"/>
    <w:rsid w:val="007A49FF"/>
    <w:rsid w:val="007E4286"/>
    <w:rsid w:val="008148F6"/>
    <w:rsid w:val="00821542"/>
    <w:rsid w:val="00841113"/>
    <w:rsid w:val="00847B72"/>
    <w:rsid w:val="00855C66"/>
    <w:rsid w:val="00887241"/>
    <w:rsid w:val="008A300B"/>
    <w:rsid w:val="008C01D1"/>
    <w:rsid w:val="008E0D00"/>
    <w:rsid w:val="009113EE"/>
    <w:rsid w:val="00942EEA"/>
    <w:rsid w:val="009A74D3"/>
    <w:rsid w:val="009D3B06"/>
    <w:rsid w:val="00A05106"/>
    <w:rsid w:val="00A169EB"/>
    <w:rsid w:val="00A20F1B"/>
    <w:rsid w:val="00A32345"/>
    <w:rsid w:val="00AA6F68"/>
    <w:rsid w:val="00AB1D6A"/>
    <w:rsid w:val="00AD251E"/>
    <w:rsid w:val="00B0083F"/>
    <w:rsid w:val="00B42653"/>
    <w:rsid w:val="00B60307"/>
    <w:rsid w:val="00B85BAE"/>
    <w:rsid w:val="00BB3C32"/>
    <w:rsid w:val="00BE0AE0"/>
    <w:rsid w:val="00BF437E"/>
    <w:rsid w:val="00C2198E"/>
    <w:rsid w:val="00CA07D1"/>
    <w:rsid w:val="00CD4E63"/>
    <w:rsid w:val="00CE1F77"/>
    <w:rsid w:val="00D1197F"/>
    <w:rsid w:val="00D42E64"/>
    <w:rsid w:val="00D511CB"/>
    <w:rsid w:val="00D86854"/>
    <w:rsid w:val="00D8757C"/>
    <w:rsid w:val="00E45656"/>
    <w:rsid w:val="00E46D4C"/>
    <w:rsid w:val="00E53BF7"/>
    <w:rsid w:val="00E66198"/>
    <w:rsid w:val="00EE64FE"/>
    <w:rsid w:val="00FC1AA6"/>
    <w:rsid w:val="00FD638E"/>
    <w:rsid w:val="00FE0734"/>
    <w:rsid w:val="00FE12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3CDEF2"/>
  <w14:defaultImageDpi w14:val="300"/>
  <w15:docId w15:val="{E50B8271-DF1E-4E2D-81C0-6BF6793E1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lang w:val="en-US" w:eastAsia="ja-JP" w:bidi="ar-SA"/>
      </w:rPr>
    </w:rPrDefault>
    <w:pPrDefault/>
  </w:docDefaults>
  <w:latentStyles w:defLockedState="0" w:defUIPriority="99" w:defSemiHidden="0" w:defUnhideWhenUsed="0" w:defQFormat="0" w:count="382">
    <w:lsdException w:name="Normal" w:uiPriority="4"/>
    <w:lsdException w:name="heading 1" w:uiPriority="9"/>
    <w:lsdException w:name="heading 2" w:semiHidden="1" w:uiPriority="1"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4"/>
    <w:rsid w:val="00587016"/>
    <w:pPr>
      <w:spacing w:before="120" w:after="120" w:line="276" w:lineRule="auto"/>
    </w:pPr>
    <w:rPr>
      <w:rFonts w:eastAsia="Times New Roman"/>
      <w:szCs w:val="24"/>
      <w:lang w:eastAsia="en-US"/>
    </w:rPr>
  </w:style>
  <w:style w:type="paragraph" w:styleId="Heading1">
    <w:name w:val="heading 1"/>
    <w:basedOn w:val="Normal"/>
    <w:next w:val="Normal"/>
    <w:link w:val="Heading1Char"/>
    <w:uiPriority w:val="9"/>
    <w:rsid w:val="0065340E"/>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next w:val="Normal"/>
    <w:link w:val="Heading2Char"/>
    <w:uiPriority w:val="1"/>
    <w:rsid w:val="00573B14"/>
    <w:pPr>
      <w:keepNext/>
      <w:tabs>
        <w:tab w:val="left" w:pos="360"/>
      </w:tabs>
      <w:spacing w:before="60" w:after="120"/>
      <w:outlineLvl w:val="1"/>
    </w:pPr>
    <w:rPr>
      <w:rFonts w:eastAsia="Times New Roman"/>
      <w:b/>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RGStandard">
    <w:name w:val="YR&amp;G Standard"/>
    <w:qFormat/>
    <w:rsid w:val="001639F1"/>
    <w:rPr>
      <w:rFonts w:eastAsia="Times New Roman"/>
      <w:bCs/>
      <w:iCs/>
    </w:rPr>
  </w:style>
  <w:style w:type="character" w:customStyle="1" w:styleId="Heading1Char">
    <w:name w:val="Heading 1 Char"/>
    <w:basedOn w:val="DefaultParagraphFont"/>
    <w:link w:val="Heading1"/>
    <w:uiPriority w:val="9"/>
    <w:rsid w:val="0065340E"/>
    <w:rPr>
      <w:rFonts w:asciiTheme="majorHAnsi" w:eastAsiaTheme="majorEastAsia" w:hAnsiTheme="majorHAnsi" w:cstheme="majorBidi"/>
      <w:b/>
      <w:bCs/>
      <w:color w:val="345A8A" w:themeColor="accent1" w:themeShade="B5"/>
      <w:sz w:val="32"/>
      <w:szCs w:val="32"/>
      <w:lang w:eastAsia="en-US"/>
    </w:rPr>
  </w:style>
  <w:style w:type="character" w:customStyle="1" w:styleId="Heading2Char">
    <w:name w:val="Heading 2 Char"/>
    <w:basedOn w:val="DefaultParagraphFont"/>
    <w:link w:val="Heading2"/>
    <w:uiPriority w:val="1"/>
    <w:rsid w:val="00573B14"/>
    <w:rPr>
      <w:rFonts w:eastAsia="Times New Roman"/>
      <w:b/>
      <w:sz w:val="22"/>
      <w:lang w:eastAsia="en-US"/>
    </w:rPr>
  </w:style>
  <w:style w:type="paragraph" w:customStyle="1" w:styleId="YRG-AdditionalSubHeading">
    <w:name w:val="YRG - Additional Sub Heading"/>
    <w:qFormat/>
    <w:rsid w:val="00AA6F68"/>
    <w:pPr>
      <w:tabs>
        <w:tab w:val="left" w:pos="360"/>
      </w:tabs>
      <w:jc w:val="both"/>
    </w:pPr>
    <w:rPr>
      <w:rFonts w:ascii="Helvetica" w:eastAsia="Times New Roman" w:hAnsi="Helvetica"/>
      <w:u w:val="single"/>
      <w:lang w:eastAsia="en-US"/>
    </w:rPr>
  </w:style>
  <w:style w:type="paragraph" w:customStyle="1" w:styleId="YRG-Bulletlist">
    <w:name w:val="YRG - Bullet list"/>
    <w:qFormat/>
    <w:rsid w:val="00AA6F68"/>
    <w:pPr>
      <w:numPr>
        <w:numId w:val="6"/>
      </w:numPr>
      <w:jc w:val="both"/>
    </w:pPr>
    <w:rPr>
      <w:rFonts w:ascii="Helvetica" w:eastAsia="Times New Roman" w:hAnsi="Helvetica"/>
      <w:color w:val="000000" w:themeColor="text1"/>
      <w:lang w:eastAsia="en-US"/>
    </w:rPr>
  </w:style>
  <w:style w:type="paragraph" w:customStyle="1" w:styleId="YRG-DateContactHeader">
    <w:name w:val="YRG - Date/Contact Header"/>
    <w:qFormat/>
    <w:rsid w:val="00AA6F68"/>
    <w:pPr>
      <w:jc w:val="both"/>
    </w:pPr>
    <w:rPr>
      <w:rFonts w:ascii="Helvetica" w:eastAsia="Times New Roman" w:hAnsi="Helvetica"/>
      <w:bCs/>
      <w:color w:val="000000" w:themeColor="text1"/>
      <w:lang w:eastAsia="en-US"/>
    </w:rPr>
  </w:style>
  <w:style w:type="paragraph" w:customStyle="1" w:styleId="YRG-ListNumbers">
    <w:name w:val="YRG - List Numbers"/>
    <w:basedOn w:val="Normal"/>
    <w:qFormat/>
    <w:rsid w:val="00AA6F68"/>
    <w:pPr>
      <w:spacing w:before="0" w:after="0" w:line="240" w:lineRule="auto"/>
      <w:contextualSpacing/>
      <w:jc w:val="both"/>
    </w:pPr>
    <w:rPr>
      <w:rFonts w:ascii="Helvetica" w:hAnsi="Helvetica"/>
      <w:b/>
      <w:bCs/>
      <w:color w:val="000000" w:themeColor="text1"/>
      <w:szCs w:val="20"/>
    </w:rPr>
  </w:style>
  <w:style w:type="paragraph" w:customStyle="1" w:styleId="YRG-Normal">
    <w:name w:val="YRG - Normal"/>
    <w:qFormat/>
    <w:rsid w:val="00AA6F68"/>
    <w:pPr>
      <w:jc w:val="both"/>
    </w:pPr>
    <w:rPr>
      <w:rFonts w:ascii="Helvetica" w:eastAsia="Times New Roman" w:hAnsi="Helvetica"/>
      <w:color w:val="000000" w:themeColor="text1"/>
      <w:lang w:eastAsia="en-US"/>
    </w:rPr>
  </w:style>
  <w:style w:type="paragraph" w:customStyle="1" w:styleId="YRG-SecondTierSubHeading">
    <w:name w:val="YRG - Second Tier Sub Heading"/>
    <w:qFormat/>
    <w:rsid w:val="00AA6F68"/>
    <w:pPr>
      <w:jc w:val="both"/>
    </w:pPr>
    <w:rPr>
      <w:rFonts w:ascii="Helvetica" w:eastAsia="Times New Roman" w:hAnsi="Helvetica"/>
      <w:b/>
      <w:bCs/>
      <w:color w:val="000000" w:themeColor="text1"/>
      <w:lang w:eastAsia="en-US"/>
    </w:rPr>
  </w:style>
  <w:style w:type="paragraph" w:customStyle="1" w:styleId="YRG-SectionHeadersDocumentTitle">
    <w:name w:val="YRG - Section Headers/Document Title"/>
    <w:qFormat/>
    <w:rsid w:val="00AA6F68"/>
    <w:pPr>
      <w:jc w:val="both"/>
    </w:pPr>
    <w:rPr>
      <w:rFonts w:ascii="Helvetica" w:eastAsia="Times New Roman" w:hAnsi="Helvetica"/>
      <w:b/>
      <w:bCs/>
      <w:caps/>
      <w:sz w:val="24"/>
      <w:szCs w:val="24"/>
      <w:lang w:eastAsia="en-US"/>
    </w:rPr>
  </w:style>
  <w:style w:type="paragraph" w:customStyle="1" w:styleId="YRG-SubHeadings">
    <w:name w:val="YRG - Sub Headings"/>
    <w:qFormat/>
    <w:rsid w:val="00AA6F68"/>
    <w:pPr>
      <w:jc w:val="both"/>
    </w:pPr>
    <w:rPr>
      <w:rFonts w:ascii="Helvetica" w:eastAsia="Times New Roman" w:hAnsi="Helvetica"/>
      <w:b/>
      <w:bCs/>
      <w:color w:val="CC0000"/>
      <w:sz w:val="24"/>
      <w:szCs w:val="24"/>
      <w:lang w:eastAsia="en-US"/>
    </w:rPr>
  </w:style>
  <w:style w:type="paragraph" w:customStyle="1" w:styleId="YRG-Subsection10font">
    <w:name w:val="YRG - Subsection (10 font)"/>
    <w:qFormat/>
    <w:rsid w:val="00AA6F68"/>
    <w:pPr>
      <w:numPr>
        <w:numId w:val="8"/>
      </w:numPr>
      <w:jc w:val="both"/>
    </w:pPr>
    <w:rPr>
      <w:rFonts w:ascii="Helvetica" w:eastAsia="Times New Roman" w:hAnsi="Helvetica"/>
      <w:b/>
      <w:color w:val="000000" w:themeColor="text1"/>
      <w:lang w:eastAsia="en-US"/>
    </w:rPr>
  </w:style>
  <w:style w:type="paragraph" w:customStyle="1" w:styleId="YRG-Task10font">
    <w:name w:val="YRG - Task (10 font)"/>
    <w:qFormat/>
    <w:rsid w:val="00AA6F68"/>
    <w:pPr>
      <w:numPr>
        <w:numId w:val="9"/>
      </w:numPr>
      <w:jc w:val="both"/>
    </w:pPr>
    <w:rPr>
      <w:rFonts w:ascii="Helvetica" w:eastAsia="Times New Roman" w:hAnsi="Helvetica"/>
      <w:b/>
      <w:bCs/>
      <w:color w:val="000000"/>
      <w:lang w:eastAsia="en-US"/>
    </w:rPr>
  </w:style>
  <w:style w:type="paragraph" w:customStyle="1" w:styleId="YRG-Task12font">
    <w:name w:val="YRG - Task (12 font)"/>
    <w:qFormat/>
    <w:rsid w:val="00AA6F68"/>
    <w:pPr>
      <w:numPr>
        <w:numId w:val="10"/>
      </w:numPr>
      <w:tabs>
        <w:tab w:val="left" w:pos="900"/>
      </w:tabs>
      <w:jc w:val="both"/>
    </w:pPr>
    <w:rPr>
      <w:rFonts w:ascii="Helvetica" w:eastAsia="Times New Roman" w:hAnsi="Helvetica"/>
      <w:b/>
      <w:color w:val="CC0000"/>
      <w:sz w:val="24"/>
      <w:lang w:eastAsia="en-US"/>
    </w:rPr>
  </w:style>
  <w:style w:type="paragraph" w:customStyle="1" w:styleId="YRG-ThirdTierSubHeading">
    <w:name w:val="YRG - Third Tier Sub Heading"/>
    <w:qFormat/>
    <w:rsid w:val="00AA6F68"/>
    <w:pPr>
      <w:jc w:val="both"/>
    </w:pPr>
    <w:rPr>
      <w:rFonts w:ascii="Helvetica" w:eastAsia="Times New Roman" w:hAnsi="Helvetica"/>
      <w:i/>
      <w:iCs/>
      <w:color w:val="000000" w:themeColor="text1"/>
      <w:lang w:eastAsia="en-US"/>
    </w:rPr>
  </w:style>
  <w:style w:type="paragraph" w:styleId="BalloonText">
    <w:name w:val="Balloon Text"/>
    <w:basedOn w:val="Normal"/>
    <w:link w:val="BalloonTextChar"/>
    <w:uiPriority w:val="99"/>
    <w:semiHidden/>
    <w:unhideWhenUsed/>
    <w:rsid w:val="00CA07D1"/>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07D1"/>
    <w:rPr>
      <w:rFonts w:ascii="Lucida Grande" w:eastAsia="Times New Roman" w:hAnsi="Lucida Grande" w:cs="Lucida Grande"/>
      <w:sz w:val="18"/>
      <w:szCs w:val="18"/>
      <w:lang w:eastAsia="en-US"/>
    </w:rPr>
  </w:style>
  <w:style w:type="table" w:styleId="TableGrid">
    <w:name w:val="Table Grid"/>
    <w:basedOn w:val="TableNormal"/>
    <w:uiPriority w:val="59"/>
    <w:rsid w:val="00C219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414</Words>
  <Characters>2366</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2775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RoseAnn Grimes</cp:lastModifiedBy>
  <cp:revision>2</cp:revision>
  <dcterms:created xsi:type="dcterms:W3CDTF">2017-12-04T15:08:00Z</dcterms:created>
  <dcterms:modified xsi:type="dcterms:W3CDTF">2017-12-04T15:08:00Z</dcterms:modified>
  <cp:category/>
</cp:coreProperties>
</file>