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B6A" w:rsidRDefault="00880FA8" w:rsidP="00880FA8">
      <w:pPr>
        <w:pStyle w:val="Heading1"/>
      </w:pPr>
      <w:r>
        <w:t xml:space="preserve">1099 Osage </w:t>
      </w:r>
      <w:r w:rsidR="00D44EDF">
        <w:t>Exceptional Calculation Narrative</w:t>
      </w:r>
    </w:p>
    <w:p w:rsidR="00880FA8" w:rsidRPr="00880FA8" w:rsidRDefault="00880FA8" w:rsidP="00880FA8"/>
    <w:p w:rsidR="00D44EDF" w:rsidRPr="00D44EDF" w:rsidRDefault="00D44EDF">
      <w:pPr>
        <w:rPr>
          <w:b/>
        </w:rPr>
      </w:pPr>
      <w:proofErr w:type="gramStart"/>
      <w:r w:rsidRPr="00D44EDF">
        <w:rPr>
          <w:b/>
        </w:rPr>
        <w:t>EC</w:t>
      </w:r>
      <w:r w:rsidR="00F14DB7">
        <w:rPr>
          <w:b/>
        </w:rPr>
        <w:t xml:space="preserve"> </w:t>
      </w:r>
      <w:r w:rsidRPr="00D44EDF">
        <w:rPr>
          <w:b/>
        </w:rPr>
        <w:t xml:space="preserve"> 1</w:t>
      </w:r>
      <w:proofErr w:type="gramEnd"/>
      <w:r w:rsidRPr="00D44EDF">
        <w:rPr>
          <w:b/>
        </w:rPr>
        <w:t xml:space="preserve">: </w:t>
      </w:r>
      <w:proofErr w:type="spellStart"/>
      <w:r w:rsidRPr="00D44EDF">
        <w:rPr>
          <w:b/>
        </w:rPr>
        <w:t>EnergyStar</w:t>
      </w:r>
      <w:proofErr w:type="spellEnd"/>
      <w:r w:rsidRPr="00D44EDF">
        <w:rPr>
          <w:b/>
        </w:rPr>
        <w:t xml:space="preserve"> Appliances</w:t>
      </w:r>
    </w:p>
    <w:p w:rsidR="00F14DB7" w:rsidRDefault="00D44EDF">
      <w:r>
        <w:t xml:space="preserve">Process loads in the units were estimated using Energy Star data and specifications from the design team. Energy Star rated refrigerators and </w:t>
      </w:r>
      <w:proofErr w:type="gramStart"/>
      <w:r>
        <w:t>dish washers</w:t>
      </w:r>
      <w:proofErr w:type="gramEnd"/>
      <w:r>
        <w:t xml:space="preserve"> are being installed in the facility.  With </w:t>
      </w:r>
      <w:proofErr w:type="gramStart"/>
      <w:r>
        <w:t>a</w:t>
      </w:r>
      <w:proofErr w:type="gramEnd"/>
      <w:r>
        <w:t xml:space="preserve"> average unit size of 700 SF, the improved appliances reduced the equipment power density from 0.</w:t>
      </w:r>
      <w:r w:rsidR="00AE6E66">
        <w:t>60</w:t>
      </w:r>
      <w:r>
        <w:t xml:space="preserve"> W/SF to 0.</w:t>
      </w:r>
      <w:r w:rsidR="00AE6E66">
        <w:t>54</w:t>
      </w:r>
      <w:r>
        <w:t xml:space="preserve"> W/SF. </w:t>
      </w:r>
    </w:p>
    <w:p w:rsidR="008D2DCC" w:rsidRDefault="00F14DB7">
      <w:pPr>
        <w:rPr>
          <w:b/>
        </w:rPr>
      </w:pPr>
      <w:r>
        <w:rPr>
          <w:noProof/>
        </w:rPr>
        <w:drawing>
          <wp:inline distT="0" distB="0" distL="0" distR="0">
            <wp:extent cx="5936615" cy="1838325"/>
            <wp:effectExtent l="19050" t="0" r="698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4EDF">
        <w:br/>
      </w:r>
      <w:proofErr w:type="gramStart"/>
      <w:r w:rsidR="008D2DCC" w:rsidRPr="00D44EDF">
        <w:rPr>
          <w:b/>
        </w:rPr>
        <w:t>EC</w:t>
      </w:r>
      <w:r w:rsidR="008D2DCC">
        <w:rPr>
          <w:b/>
        </w:rPr>
        <w:t xml:space="preserve"> </w:t>
      </w:r>
      <w:r w:rsidR="008D2DCC" w:rsidRPr="00D44EDF">
        <w:rPr>
          <w:b/>
        </w:rPr>
        <w:t xml:space="preserve"> </w:t>
      </w:r>
      <w:r w:rsidR="00880FA8">
        <w:rPr>
          <w:b/>
        </w:rPr>
        <w:t>2</w:t>
      </w:r>
      <w:proofErr w:type="gramEnd"/>
      <w:r w:rsidR="008D2DCC" w:rsidRPr="00D44EDF">
        <w:rPr>
          <w:b/>
        </w:rPr>
        <w:t xml:space="preserve">: </w:t>
      </w:r>
      <w:r w:rsidR="002C6A98">
        <w:rPr>
          <w:b/>
        </w:rPr>
        <w:t>Residential Lighting</w:t>
      </w:r>
    </w:p>
    <w:p w:rsidR="00C30DE9" w:rsidRPr="00C30DE9" w:rsidRDefault="00C30DE9" w:rsidP="00C30DE9">
      <w:pPr>
        <w:autoSpaceDE w:val="0"/>
        <w:autoSpaceDN w:val="0"/>
        <w:adjustRightInd w:val="0"/>
        <w:spacing w:after="0" w:line="240" w:lineRule="auto"/>
      </w:pPr>
      <w:r w:rsidRPr="00C30DE9">
        <w:t>The lighting is modeled at 1.7 W/SF in both the proposed and baseline models. Credit for efficient lighting is taken as an exceptional calculation.</w:t>
      </w:r>
    </w:p>
    <w:p w:rsidR="00C30DE9" w:rsidRPr="00C30DE9" w:rsidRDefault="00C30DE9" w:rsidP="00C30DE9">
      <w:pPr>
        <w:autoSpaceDE w:val="0"/>
        <w:autoSpaceDN w:val="0"/>
        <w:adjustRightInd w:val="0"/>
        <w:spacing w:after="0" w:line="240" w:lineRule="auto"/>
      </w:pPr>
    </w:p>
    <w:p w:rsidR="00C30DE9" w:rsidRPr="00C30DE9" w:rsidRDefault="00C30DE9" w:rsidP="00C30DE9">
      <w:pPr>
        <w:autoSpaceDE w:val="0"/>
        <w:autoSpaceDN w:val="0"/>
        <w:adjustRightInd w:val="0"/>
        <w:spacing w:after="0" w:line="240" w:lineRule="auto"/>
      </w:pPr>
      <w:r w:rsidRPr="00C30DE9">
        <w:t>LEED-NC v2.2 CIR Rulings dated 04/25/07 and 03/23/07 state to use up to 2.0 W/</w:t>
      </w:r>
      <w:proofErr w:type="spellStart"/>
      <w:r w:rsidRPr="00C30DE9">
        <w:t>sf</w:t>
      </w:r>
      <w:proofErr w:type="spellEnd"/>
      <w:r w:rsidRPr="00C30DE9">
        <w:t xml:space="preserve"> for residential units. Table 5-10 of U.S. Lighting Market Characterization: Volume 1: National Lighting Inventory and Energy Consumption Estimate by Navigant Consulting gives the value of 2.0W/SF as a typical installed wattage in multifamily buildings. The Tacoma Public Utilities study, "Residential Lighting: The Data to Date" (1996), found that typical residential lighting power densities are closer to 1.7 W/sf. For this project a conservative value of 1.7 W/SF was used. </w:t>
      </w:r>
    </w:p>
    <w:p w:rsidR="00C30DE9" w:rsidRPr="00C30DE9" w:rsidRDefault="00C30DE9" w:rsidP="00C30DE9">
      <w:pPr>
        <w:autoSpaceDE w:val="0"/>
        <w:autoSpaceDN w:val="0"/>
        <w:adjustRightInd w:val="0"/>
        <w:spacing w:after="0" w:line="240" w:lineRule="auto"/>
      </w:pPr>
      <w:r w:rsidRPr="00C30DE9">
        <w:tab/>
      </w:r>
    </w:p>
    <w:p w:rsidR="00AE6E66" w:rsidRPr="00C30DE9" w:rsidRDefault="00AE6E66" w:rsidP="00C30DE9">
      <w:pPr>
        <w:autoSpaceDE w:val="0"/>
        <w:autoSpaceDN w:val="0"/>
        <w:adjustRightInd w:val="0"/>
        <w:spacing w:after="0" w:line="240" w:lineRule="auto"/>
      </w:pPr>
      <w:r>
        <w:t xml:space="preserve">Hard-wired lighting fixtures are provided throughout the residential units to provide </w:t>
      </w:r>
      <w:proofErr w:type="spellStart"/>
      <w:r>
        <w:t>illuminance</w:t>
      </w:r>
      <w:proofErr w:type="spellEnd"/>
      <w:r>
        <w:t xml:space="preserve"> for every space in the units.  </w:t>
      </w:r>
      <w:r w:rsidR="005E378E">
        <w:t>This was a major cost premium for</w:t>
      </w:r>
      <w:r w:rsidR="00333BCC">
        <w:t xml:space="preserve"> the developer</w:t>
      </w:r>
      <w:bookmarkStart w:id="0" w:name="_GoBack"/>
      <w:bookmarkEnd w:id="0"/>
      <w:r w:rsidR="005E378E">
        <w:t xml:space="preserve">, and was done as an energy efficiency strategy: to prevent residents from having to bring in their own lamps. </w:t>
      </w:r>
      <w:r>
        <w:t>The installed lighting power density in the proposed design is 0.33 W/SF.</w:t>
      </w:r>
    </w:p>
    <w:p w:rsidR="008D2DCC" w:rsidRDefault="008D2DCC"/>
    <w:sectPr w:rsidR="008D2DCC" w:rsidSect="00A25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EDF"/>
    <w:rsid w:val="002C29AD"/>
    <w:rsid w:val="002C6A98"/>
    <w:rsid w:val="00333BCC"/>
    <w:rsid w:val="005E378E"/>
    <w:rsid w:val="00843A3C"/>
    <w:rsid w:val="00880FA8"/>
    <w:rsid w:val="008B7AB5"/>
    <w:rsid w:val="008D2DCC"/>
    <w:rsid w:val="00A25B6A"/>
    <w:rsid w:val="00A716CD"/>
    <w:rsid w:val="00AE64BA"/>
    <w:rsid w:val="00AE6E66"/>
    <w:rsid w:val="00C30DE9"/>
    <w:rsid w:val="00D44EDF"/>
    <w:rsid w:val="00DF730D"/>
    <w:rsid w:val="00F1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F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DB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0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F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DB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0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Enermodal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Pauli</dc:creator>
  <cp:lastModifiedBy>Amber Pauli</cp:lastModifiedBy>
  <cp:revision>1</cp:revision>
  <dcterms:created xsi:type="dcterms:W3CDTF">2012-09-06T15:05:00Z</dcterms:created>
  <dcterms:modified xsi:type="dcterms:W3CDTF">2012-09-06T15:07:00Z</dcterms:modified>
</cp:coreProperties>
</file>